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text" w:horzAnchor="page" w:tblpX="1277" w:tblpY="806"/>
        <w:tblOverlap w:val="never"/>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1188"/>
        <w:gridCol w:w="1291"/>
        <w:gridCol w:w="1368"/>
        <w:gridCol w:w="1433"/>
        <w:gridCol w:w="2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exact"/>
        </w:trPr>
        <w:tc>
          <w:tcPr>
            <w:tcW w:w="1639" w:type="dxa"/>
            <w:vMerge w:val="restart"/>
            <w:vAlign w:val="center"/>
          </w:tcPr>
          <w:p>
            <w:pPr>
              <w:spacing w:line="38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作品标题</w:t>
            </w:r>
          </w:p>
        </w:tc>
        <w:tc>
          <w:tcPr>
            <w:tcW w:w="3847" w:type="dxa"/>
            <w:gridSpan w:val="3"/>
            <w:vMerge w:val="restart"/>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s="Times New Roman"/>
                <w:color w:val="000000"/>
                <w:kern w:val="2"/>
                <w:sz w:val="21"/>
                <w:szCs w:val="21"/>
                <w:lang w:val="en-US" w:eastAsia="zh-CN" w:bidi="ar-SA"/>
              </w:rPr>
              <w:t>武昌古城建城1800年</w:t>
            </w:r>
          </w:p>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黑体" w:cs="黑体"/>
                <w:color w:val="000000"/>
                <w:sz w:val="28"/>
                <w:szCs w:val="22"/>
              </w:rPr>
            </w:pPr>
            <w:r>
              <w:rPr>
                <w:rFonts w:hint="eastAsia" w:ascii="Times New Roman" w:hAnsi="Times New Roman" w:eastAsia="仿宋_GB2312" w:cs="Times New Roman"/>
                <w:color w:val="000000"/>
                <w:kern w:val="2"/>
                <w:sz w:val="21"/>
                <w:szCs w:val="21"/>
                <w:lang w:val="en-US" w:eastAsia="zh-CN" w:bidi="ar-SA"/>
              </w:rPr>
              <w:t>与委员同访岳飞的武汉印记</w:t>
            </w:r>
          </w:p>
        </w:tc>
        <w:tc>
          <w:tcPr>
            <w:tcW w:w="1433" w:type="dxa"/>
            <w:vAlign w:val="center"/>
          </w:tcPr>
          <w:p>
            <w:pPr>
              <w:spacing w:line="38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参评项目</w:t>
            </w:r>
          </w:p>
        </w:tc>
        <w:tc>
          <w:tcPr>
            <w:tcW w:w="2705" w:type="dxa"/>
            <w:vAlign w:val="center"/>
          </w:tcPr>
          <w:p>
            <w:pPr>
              <w:numPr>
                <w:ilvl w:val="0"/>
                <w:numId w:val="0"/>
              </w:numPr>
              <w:spacing w:line="300" w:lineRule="exact"/>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新闻专题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exact"/>
        </w:trPr>
        <w:tc>
          <w:tcPr>
            <w:tcW w:w="1639" w:type="dxa"/>
            <w:vMerge w:val="continue"/>
            <w:vAlign w:val="center"/>
          </w:tcPr>
          <w:p>
            <w:pPr>
              <w:spacing w:line="380" w:lineRule="exact"/>
              <w:ind w:firstLine="560"/>
              <w:jc w:val="center"/>
              <w:rPr>
                <w:rFonts w:hint="eastAsia" w:ascii="Times New Roman" w:hAnsi="Times New Roman" w:eastAsia="黑体" w:cs="黑体"/>
                <w:color w:val="000000"/>
                <w:sz w:val="28"/>
                <w:szCs w:val="22"/>
              </w:rPr>
            </w:pPr>
          </w:p>
        </w:tc>
        <w:tc>
          <w:tcPr>
            <w:tcW w:w="3847" w:type="dxa"/>
            <w:gridSpan w:val="3"/>
            <w:vMerge w:val="continue"/>
            <w:vAlign w:val="center"/>
          </w:tcPr>
          <w:p>
            <w:pPr>
              <w:spacing w:line="380" w:lineRule="exact"/>
              <w:ind w:firstLine="560"/>
              <w:jc w:val="center"/>
              <w:rPr>
                <w:rFonts w:hint="eastAsia" w:ascii="Times New Roman" w:hAnsi="Times New Roman" w:eastAsia="黑体" w:cs="黑体"/>
                <w:color w:val="000000"/>
                <w:sz w:val="28"/>
                <w:szCs w:val="22"/>
              </w:rPr>
            </w:pPr>
          </w:p>
        </w:tc>
        <w:tc>
          <w:tcPr>
            <w:tcW w:w="1433" w:type="dxa"/>
            <w:vAlign w:val="center"/>
          </w:tcPr>
          <w:p>
            <w:pPr>
              <w:spacing w:line="38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刊播介质</w:t>
            </w:r>
          </w:p>
        </w:tc>
        <w:tc>
          <w:tcPr>
            <w:tcW w:w="2705" w:type="dxa"/>
            <w:vAlign w:val="center"/>
          </w:tcPr>
          <w:p>
            <w:pPr>
              <w:numPr>
                <w:ilvl w:val="0"/>
                <w:numId w:val="0"/>
              </w:numPr>
              <w:spacing w:line="300" w:lineRule="exact"/>
              <w:rPr>
                <w:rFonts w:hint="eastAsia"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电视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exact"/>
        </w:trPr>
        <w:tc>
          <w:tcPr>
            <w:tcW w:w="1639" w:type="dxa"/>
            <w:vMerge w:val="continue"/>
            <w:vAlign w:val="center"/>
          </w:tcPr>
          <w:p>
            <w:pPr>
              <w:spacing w:line="380" w:lineRule="exact"/>
              <w:ind w:firstLine="560"/>
              <w:jc w:val="center"/>
              <w:rPr>
                <w:rFonts w:hint="eastAsia" w:ascii="Times New Roman" w:hAnsi="Times New Roman" w:eastAsia="黑体" w:cs="黑体"/>
                <w:color w:val="000000"/>
                <w:sz w:val="28"/>
                <w:szCs w:val="22"/>
              </w:rPr>
            </w:pPr>
          </w:p>
        </w:tc>
        <w:tc>
          <w:tcPr>
            <w:tcW w:w="3847" w:type="dxa"/>
            <w:gridSpan w:val="3"/>
            <w:vMerge w:val="continue"/>
            <w:vAlign w:val="center"/>
          </w:tcPr>
          <w:p>
            <w:pPr>
              <w:spacing w:line="380" w:lineRule="exact"/>
              <w:ind w:firstLine="560"/>
              <w:jc w:val="center"/>
              <w:rPr>
                <w:rFonts w:hint="eastAsia" w:ascii="Times New Roman" w:hAnsi="Times New Roman" w:eastAsia="黑体" w:cs="黑体"/>
                <w:color w:val="000000"/>
                <w:sz w:val="28"/>
                <w:szCs w:val="22"/>
              </w:rPr>
            </w:pPr>
          </w:p>
        </w:tc>
        <w:tc>
          <w:tcPr>
            <w:tcW w:w="1433" w:type="dxa"/>
            <w:vAlign w:val="center"/>
          </w:tcPr>
          <w:p>
            <w:pPr>
              <w:spacing w:line="38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语种</w:t>
            </w:r>
          </w:p>
        </w:tc>
        <w:tc>
          <w:tcPr>
            <w:tcW w:w="2705" w:type="dxa"/>
            <w:vAlign w:val="center"/>
          </w:tcPr>
          <w:p>
            <w:pPr>
              <w:numPr>
                <w:ilvl w:val="0"/>
                <w:numId w:val="0"/>
              </w:numPr>
              <w:spacing w:line="300" w:lineRule="exact"/>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中文</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639" w:type="dxa"/>
            <w:vAlign w:val="center"/>
          </w:tcPr>
          <w:p>
            <w:pPr>
              <w:spacing w:line="320" w:lineRule="exact"/>
              <w:jc w:val="center"/>
              <w:rPr>
                <w:rFonts w:hint="eastAsia" w:ascii="Times New Roman" w:hAnsi="Times New Roman" w:eastAsia="黑体" w:cs="黑体"/>
                <w:color w:val="000000"/>
                <w:spacing w:val="-12"/>
                <w:sz w:val="28"/>
                <w:szCs w:val="22"/>
              </w:rPr>
            </w:pPr>
            <w:r>
              <w:rPr>
                <w:rFonts w:hint="eastAsia" w:ascii="Times New Roman" w:hAnsi="Times New Roman" w:eastAsia="黑体" w:cs="黑体"/>
                <w:color w:val="000000"/>
                <w:spacing w:val="-12"/>
                <w:sz w:val="28"/>
                <w:szCs w:val="22"/>
              </w:rPr>
              <w:t>作  者</w:t>
            </w:r>
          </w:p>
          <w:p>
            <w:pPr>
              <w:spacing w:line="320" w:lineRule="exact"/>
              <w:jc w:val="center"/>
              <w:rPr>
                <w:rFonts w:hint="eastAsia" w:ascii="Times New Roman" w:hAnsi="Times New Roman" w:eastAsia="黑体" w:cs="黑体"/>
                <w:color w:val="000000"/>
                <w:spacing w:val="-12"/>
                <w:sz w:val="24"/>
                <w:szCs w:val="22"/>
              </w:rPr>
            </w:pPr>
            <w:r>
              <w:rPr>
                <w:rFonts w:hint="eastAsia" w:ascii="Times New Roman" w:hAnsi="Times New Roman" w:eastAsia="黑体" w:cs="黑体"/>
                <w:color w:val="000000"/>
                <w:spacing w:val="-12"/>
                <w:sz w:val="24"/>
                <w:szCs w:val="22"/>
              </w:rPr>
              <w:t>（主创人员）</w:t>
            </w:r>
          </w:p>
        </w:tc>
        <w:tc>
          <w:tcPr>
            <w:tcW w:w="2479" w:type="dxa"/>
            <w:gridSpan w:val="2"/>
            <w:vAlign w:val="center"/>
          </w:tcPr>
          <w:p>
            <w:pPr>
              <w:numPr>
                <w:ilvl w:val="0"/>
                <w:numId w:val="0"/>
              </w:numPr>
              <w:spacing w:line="300" w:lineRule="exact"/>
              <w:rPr>
                <w:rFonts w:hint="eastAsia"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胡  芳、张文科、王桂林</w:t>
            </w:r>
          </w:p>
          <w:p>
            <w:pPr>
              <w:numPr>
                <w:ilvl w:val="0"/>
                <w:numId w:val="0"/>
              </w:numPr>
              <w:spacing w:line="300" w:lineRule="exact"/>
              <w:rPr>
                <w:rFonts w:hint="eastAsia"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 xml:space="preserve">李  鹏、高越男、乔  飞 </w:t>
            </w:r>
          </w:p>
          <w:p>
            <w:pPr>
              <w:numPr>
                <w:ilvl w:val="0"/>
                <w:numId w:val="0"/>
              </w:numPr>
              <w:spacing w:line="300" w:lineRule="exact"/>
              <w:rPr>
                <w:rFonts w:hint="default" w:ascii="Times New Roman" w:hAnsi="Times New Roman" w:eastAsia="仿宋_GB2312" w:cs="仿宋_GB2312"/>
                <w:color w:val="000000"/>
                <w:sz w:val="28"/>
                <w:szCs w:val="22"/>
                <w:lang w:val="en-US" w:eastAsia="zh-CN"/>
              </w:rPr>
            </w:pPr>
            <w:r>
              <w:rPr>
                <w:rFonts w:hint="eastAsia" w:ascii="Times New Roman" w:hAnsi="Times New Roman" w:eastAsia="仿宋_GB2312" w:cs="Times New Roman"/>
                <w:color w:val="000000"/>
                <w:szCs w:val="21"/>
                <w:lang w:val="en-US" w:eastAsia="zh-CN"/>
              </w:rPr>
              <w:t>胡玉茗</w:t>
            </w:r>
          </w:p>
        </w:tc>
        <w:tc>
          <w:tcPr>
            <w:tcW w:w="1368" w:type="dxa"/>
            <w:vAlign w:val="center"/>
          </w:tcPr>
          <w:p>
            <w:pPr>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编辑</w:t>
            </w:r>
          </w:p>
        </w:tc>
        <w:tc>
          <w:tcPr>
            <w:tcW w:w="4138" w:type="dxa"/>
            <w:gridSpan w:val="2"/>
            <w:vAlign w:val="center"/>
          </w:tcPr>
          <w:p>
            <w:pPr>
              <w:spacing w:line="240" w:lineRule="exact"/>
              <w:jc w:val="center"/>
              <w:rPr>
                <w:rFonts w:hint="eastAsia" w:ascii="Times New Roman" w:hAnsi="Times New Roman" w:eastAsia="仿宋_GB2312" w:cs="仿宋_GB2312"/>
                <w:color w:val="000000"/>
                <w:w w:val="95"/>
                <w:szCs w:val="21"/>
              </w:rPr>
            </w:pPr>
            <w:r>
              <w:rPr>
                <w:rFonts w:hint="eastAsia" w:ascii="Times New Roman" w:hAnsi="Times New Roman" w:eastAsia="仿宋_GB2312" w:cs="Times New Roman"/>
                <w:color w:val="000000"/>
                <w:szCs w:val="21"/>
                <w:lang w:val="en-US" w:eastAsia="zh-CN"/>
              </w:rPr>
              <w:t>张霖枫、顾  健、陶  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1639" w:type="dxa"/>
            <w:vAlign w:val="center"/>
          </w:tcPr>
          <w:p>
            <w:pPr>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刊播单位</w:t>
            </w:r>
          </w:p>
        </w:tc>
        <w:tc>
          <w:tcPr>
            <w:tcW w:w="2479" w:type="dxa"/>
            <w:gridSpan w:val="2"/>
            <w:vAlign w:val="center"/>
          </w:tcPr>
          <w:p>
            <w:pPr>
              <w:spacing w:line="260" w:lineRule="exact"/>
              <w:jc w:val="center"/>
              <w:rPr>
                <w:rFonts w:hint="eastAsia" w:ascii="Times New Roman" w:hAnsi="Times New Roman" w:eastAsia="仿宋_GB2312" w:cs="仿宋_GB2312"/>
                <w:color w:val="000000"/>
                <w:szCs w:val="21"/>
              </w:rPr>
            </w:pPr>
            <w:r>
              <w:rPr>
                <w:rFonts w:hint="eastAsia" w:ascii="Times New Roman" w:hAnsi="Times New Roman" w:eastAsia="仿宋_GB2312" w:cs="Times New Roman"/>
                <w:color w:val="000000"/>
                <w:szCs w:val="21"/>
                <w:lang w:val="en-US" w:eastAsia="zh-CN"/>
              </w:rPr>
              <w:t>湖北广播电视台</w:t>
            </w:r>
          </w:p>
        </w:tc>
        <w:tc>
          <w:tcPr>
            <w:tcW w:w="1368" w:type="dxa"/>
            <w:vAlign w:val="center"/>
          </w:tcPr>
          <w:p>
            <w:pPr>
              <w:spacing w:line="40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刊播日期</w:t>
            </w:r>
          </w:p>
        </w:tc>
        <w:tc>
          <w:tcPr>
            <w:tcW w:w="4138" w:type="dxa"/>
            <w:gridSpan w:val="2"/>
            <w:vAlign w:val="center"/>
          </w:tcPr>
          <w:p>
            <w:pPr>
              <w:numPr>
                <w:ilvl w:val="0"/>
                <w:numId w:val="0"/>
              </w:numPr>
              <w:spacing w:line="300" w:lineRule="exact"/>
              <w:jc w:val="center"/>
              <w:rPr>
                <w:rFonts w:hint="eastAsia"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2023年4月3日</w:t>
            </w:r>
          </w:p>
          <w:p>
            <w:pPr>
              <w:numPr>
                <w:ilvl w:val="0"/>
                <w:numId w:val="0"/>
              </w:numPr>
              <w:spacing w:line="300" w:lineRule="exact"/>
              <w:jc w:val="center"/>
              <w:rPr>
                <w:rFonts w:hint="eastAsia" w:ascii="Times New Roman" w:hAnsi="Times New Roman" w:eastAsia="仿宋_GB2312" w:cs="仿宋_GB2312"/>
                <w:color w:val="000000"/>
                <w:sz w:val="18"/>
                <w:szCs w:val="18"/>
                <w:highlight w:val="green"/>
              </w:rPr>
            </w:pPr>
            <w:r>
              <w:rPr>
                <w:rFonts w:hint="eastAsia" w:ascii="Times New Roman" w:hAnsi="Times New Roman" w:eastAsia="仿宋_GB2312" w:cs="Times New Roman"/>
                <w:color w:val="000000"/>
                <w:szCs w:val="21"/>
                <w:lang w:val="en-US" w:eastAsia="zh-CN"/>
              </w:rPr>
              <w:t>22时25分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6" w:hRule="exact"/>
        </w:trPr>
        <w:tc>
          <w:tcPr>
            <w:tcW w:w="1639" w:type="dxa"/>
            <w:vAlign w:val="center"/>
          </w:tcPr>
          <w:p>
            <w:pPr>
              <w:spacing w:line="44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刊播版面</w:t>
            </w:r>
            <w:r>
              <w:rPr>
                <w:rFonts w:hint="eastAsia" w:ascii="Times New Roman" w:hAnsi="Times New Roman" w:eastAsia="黑体" w:cs="黑体"/>
                <w:color w:val="000000"/>
                <w:spacing w:val="-12"/>
                <w:sz w:val="28"/>
                <w:szCs w:val="22"/>
              </w:rPr>
              <w:t>(</w:t>
            </w:r>
            <w:r>
              <w:rPr>
                <w:rFonts w:hint="eastAsia" w:ascii="Times New Roman" w:hAnsi="Times New Roman" w:eastAsia="黑体" w:cs="黑体"/>
                <w:color w:val="000000"/>
                <w:spacing w:val="-12"/>
                <w:sz w:val="24"/>
                <w:szCs w:val="22"/>
              </w:rPr>
              <w:t>名称和版次)</w:t>
            </w:r>
          </w:p>
        </w:tc>
        <w:tc>
          <w:tcPr>
            <w:tcW w:w="2479" w:type="dxa"/>
            <w:gridSpan w:val="2"/>
            <w:vAlign w:val="center"/>
          </w:tcPr>
          <w:p>
            <w:pPr>
              <w:spacing w:line="260" w:lineRule="exact"/>
              <w:jc w:val="center"/>
              <w:rPr>
                <w:rFonts w:hint="default" w:ascii="Times New Roman" w:hAnsi="Times New Roman" w:eastAsia="仿宋_GB2312" w:cs="Times New Roman"/>
                <w:color w:val="000000"/>
                <w:szCs w:val="21"/>
                <w:lang w:val="en-US" w:eastAsia="zh-CN"/>
              </w:rPr>
            </w:pPr>
            <w:r>
              <w:rPr>
                <w:rFonts w:hint="default" w:ascii="Times New Roman" w:hAnsi="Times New Roman" w:eastAsia="仿宋_GB2312" w:cs="Times New Roman"/>
                <w:color w:val="000000"/>
                <w:szCs w:val="21"/>
                <w:lang w:val="en-US" w:eastAsia="zh-CN"/>
              </w:rPr>
              <w:t>湖北广播电视台</w:t>
            </w:r>
          </w:p>
          <w:p>
            <w:pPr>
              <w:spacing w:line="260" w:lineRule="exact"/>
              <w:jc w:val="center"/>
              <w:rPr>
                <w:rFonts w:hint="default" w:ascii="Times New Roman" w:hAnsi="Times New Roman" w:eastAsia="仿宋_GB2312" w:cs="Times New Roman"/>
                <w:color w:val="000000"/>
                <w:szCs w:val="21"/>
                <w:lang w:val="en-US" w:eastAsia="zh-CN"/>
              </w:rPr>
            </w:pPr>
            <w:r>
              <w:rPr>
                <w:rFonts w:hint="default" w:ascii="Times New Roman" w:hAnsi="Times New Roman" w:eastAsia="仿宋_GB2312" w:cs="Times New Roman"/>
                <w:color w:val="000000"/>
                <w:szCs w:val="21"/>
                <w:lang w:val="en-US" w:eastAsia="zh-CN"/>
              </w:rPr>
              <w:t>电视经济频道</w:t>
            </w:r>
          </w:p>
          <w:p>
            <w:pPr>
              <w:spacing w:line="260" w:lineRule="exact"/>
              <w:jc w:val="center"/>
              <w:rPr>
                <w:rFonts w:hint="eastAsia" w:ascii="Times New Roman" w:hAnsi="Times New Roman" w:eastAsia="仿宋_GB2312" w:cs="仿宋_GB2312"/>
                <w:color w:val="000000"/>
                <w:szCs w:val="21"/>
              </w:rPr>
            </w:pPr>
            <w:r>
              <w:rPr>
                <w:rFonts w:hint="eastAsia" w:ascii="Times New Roman" w:hAnsi="Times New Roman" w:eastAsia="仿宋_GB2312" w:cs="Times New Roman"/>
                <w:color w:val="000000"/>
                <w:szCs w:val="21"/>
                <w:lang w:val="en-US" w:eastAsia="zh-CN"/>
              </w:rPr>
              <w:t>《提案追踪》</w:t>
            </w:r>
            <w:r>
              <w:rPr>
                <w:rFonts w:hint="default" w:ascii="Times New Roman" w:hAnsi="Times New Roman" w:eastAsia="仿宋_GB2312" w:cs="Times New Roman"/>
                <w:color w:val="000000"/>
                <w:szCs w:val="21"/>
                <w:lang w:val="en-US" w:eastAsia="zh-CN"/>
              </w:rPr>
              <w:t>栏目</w:t>
            </w:r>
          </w:p>
        </w:tc>
        <w:tc>
          <w:tcPr>
            <w:tcW w:w="1368" w:type="dxa"/>
            <w:vAlign w:val="center"/>
          </w:tcPr>
          <w:p>
            <w:pPr>
              <w:spacing w:line="40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作品字数</w:t>
            </w:r>
          </w:p>
          <w:p>
            <w:pPr>
              <w:spacing w:line="400" w:lineRule="exact"/>
              <w:jc w:val="center"/>
              <w:rPr>
                <w:rFonts w:hint="eastAsia" w:ascii="Times New Roman" w:hAnsi="Times New Roman" w:eastAsia="黑体" w:cs="黑体"/>
                <w:color w:val="000000"/>
                <w:sz w:val="28"/>
                <w:szCs w:val="22"/>
                <w:lang w:val="en-US" w:eastAsia="zh-CN"/>
              </w:rPr>
            </w:pPr>
            <w:r>
              <w:rPr>
                <w:rFonts w:hint="eastAsia" w:ascii="Times New Roman" w:hAnsi="Times New Roman" w:eastAsia="黑体" w:cs="黑体"/>
                <w:color w:val="000000"/>
                <w:sz w:val="28"/>
                <w:szCs w:val="22"/>
              </w:rPr>
              <w:t>（时长）</w:t>
            </w:r>
            <w:r>
              <w:rPr>
                <w:rFonts w:hint="eastAsia" w:ascii="Times New Roman" w:hAnsi="Times New Roman" w:eastAsia="黑体" w:cs="黑体"/>
                <w:color w:val="000000"/>
                <w:sz w:val="28"/>
                <w:szCs w:val="22"/>
                <w:lang w:val="en-US" w:eastAsia="zh-CN"/>
              </w:rPr>
              <w:t xml:space="preserve"> </w:t>
            </w:r>
          </w:p>
        </w:tc>
        <w:tc>
          <w:tcPr>
            <w:tcW w:w="4138" w:type="dxa"/>
            <w:gridSpan w:val="2"/>
            <w:vAlign w:val="center"/>
          </w:tcPr>
          <w:p>
            <w:pPr>
              <w:numPr>
                <w:ilvl w:val="0"/>
                <w:numId w:val="0"/>
              </w:numPr>
              <w:spacing w:line="300" w:lineRule="exact"/>
              <w:jc w:val="center"/>
              <w:rPr>
                <w:rFonts w:hint="eastAsia"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4018字</w:t>
            </w:r>
          </w:p>
          <w:p>
            <w:pPr>
              <w:numPr>
                <w:ilvl w:val="0"/>
                <w:numId w:val="0"/>
              </w:numPr>
              <w:spacing w:line="300" w:lineRule="exact"/>
              <w:jc w:val="center"/>
              <w:rPr>
                <w:rFonts w:hint="eastAsia" w:ascii="Times New Roman" w:hAnsi="Times New Roman" w:eastAsia="仿宋_GB2312" w:cs="仿宋_GB2312"/>
                <w:color w:val="000000"/>
                <w:szCs w:val="21"/>
                <w:lang w:val="en-US" w:eastAsia="zh-CN"/>
              </w:rPr>
            </w:pPr>
            <w:r>
              <w:rPr>
                <w:rFonts w:hint="eastAsia" w:ascii="Times New Roman" w:hAnsi="Times New Roman" w:eastAsia="仿宋_GB2312" w:cs="Times New Roman"/>
                <w:color w:val="000000"/>
                <w:szCs w:val="21"/>
                <w:lang w:val="en-US" w:eastAsia="zh-CN"/>
              </w:rPr>
              <w:t>（14分32秒）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exact"/>
        </w:trPr>
        <w:tc>
          <w:tcPr>
            <w:tcW w:w="2827" w:type="dxa"/>
            <w:gridSpan w:val="2"/>
            <w:vAlign w:val="center"/>
          </w:tcPr>
          <w:p>
            <w:pPr>
              <w:spacing w:line="340" w:lineRule="exact"/>
              <w:rPr>
                <w:rFonts w:ascii="Times New Roman" w:hAnsi="Times New Roman"/>
                <w:color w:val="000000"/>
                <w:szCs w:val="21"/>
              </w:rPr>
            </w:pPr>
            <w:r>
              <w:rPr>
                <w:rFonts w:hint="eastAsia" w:ascii="Times New Roman" w:hAnsi="Times New Roman" w:eastAsia="黑体" w:cs="黑体"/>
                <w:color w:val="000000"/>
                <w:sz w:val="28"/>
                <w:szCs w:val="22"/>
              </w:rPr>
              <w:t>新媒体作品填报网址</w:t>
            </w:r>
          </w:p>
        </w:tc>
        <w:tc>
          <w:tcPr>
            <w:tcW w:w="6797" w:type="dxa"/>
            <w:gridSpan w:val="4"/>
            <w:vAlign w:val="center"/>
          </w:tcPr>
          <w:p>
            <w:pPr>
              <w:spacing w:line="260" w:lineRule="exact"/>
              <w:rPr>
                <w:rFonts w:ascii="Times New Roman" w:hAnsi="Times New Roman" w:eastAsia="华文中宋"/>
                <w:color w:val="000000"/>
                <w:sz w:val="28"/>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9" w:hRule="atLeast"/>
        </w:trPr>
        <w:tc>
          <w:tcPr>
            <w:tcW w:w="1639" w:type="dxa"/>
            <w:vAlign w:val="center"/>
          </w:tcPr>
          <w:p>
            <w:pPr>
              <w:spacing w:line="34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 xml:space="preserve">  ︵</w:t>
            </w:r>
          </w:p>
          <w:p>
            <w:pPr>
              <w:spacing w:line="34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作采</w:t>
            </w:r>
          </w:p>
          <w:p>
            <w:pPr>
              <w:spacing w:line="34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品编</w:t>
            </w:r>
          </w:p>
          <w:p>
            <w:pPr>
              <w:spacing w:line="34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简过</w:t>
            </w:r>
          </w:p>
          <w:p>
            <w:pPr>
              <w:spacing w:line="34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介程</w:t>
            </w:r>
          </w:p>
          <w:p>
            <w:pPr>
              <w:spacing w:line="34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 xml:space="preserve">  ︶</w:t>
            </w:r>
          </w:p>
        </w:tc>
        <w:tc>
          <w:tcPr>
            <w:tcW w:w="7985" w:type="dxa"/>
            <w:gridSpan w:val="5"/>
            <w:vAlign w:val="center"/>
          </w:tcPr>
          <w:p>
            <w:pPr>
              <w:numPr>
                <w:ilvl w:val="0"/>
                <w:numId w:val="0"/>
              </w:numPr>
              <w:spacing w:line="300" w:lineRule="exact"/>
              <w:ind w:firstLine="420" w:firstLineChars="200"/>
              <w:rPr>
                <w:rFonts w:hint="eastAsia"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习近平总书记强调：文物和文化遗产承载着中华民族的基因和血脉，是不可再生、不可替代的中华优秀文明资源。要让更多文物和文化遗产活起来，营造传承中华文明的浓厚社会氛围。一直以来，湖北省政协组织充分发挥政协优势，积极围绕历史文化名城名镇名村保护与利用积极建言献策。</w:t>
            </w:r>
          </w:p>
          <w:p>
            <w:pPr>
              <w:numPr>
                <w:ilvl w:val="0"/>
                <w:numId w:val="0"/>
              </w:numPr>
              <w:spacing w:line="300" w:lineRule="exact"/>
              <w:ind w:firstLine="420" w:firstLineChars="200"/>
              <w:rPr>
                <w:rFonts w:hint="eastAsia"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作品主题鲜明：节目充分展示了各级政协组织和政协委员，如何以武昌古城建城1800年历史节点为切入，紧扣历史文化名城保护与利用这一主题，积极履职建言，体现政协的责任担当。</w:t>
            </w:r>
          </w:p>
          <w:p>
            <w:pPr>
              <w:numPr>
                <w:ilvl w:val="0"/>
                <w:numId w:val="0"/>
              </w:numPr>
              <w:spacing w:line="300" w:lineRule="exact"/>
              <w:ind w:firstLine="420" w:firstLineChars="200"/>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节目形态创新：利用电影《满江红》热映热点，主创人员与政协委员以走访形式，在武昌蛇山寻访岳飞在武昌的印记，介绍提案初衷；借用社会热点关注武昌古城·1800系列活动，主创人员听政协委员讲述12年建言履职，有效推动武昌古城保护与利用的故事。节目总体形式活，热点多，信息量大。</w:t>
            </w:r>
          </w:p>
          <w:p>
            <w:pPr>
              <w:numPr>
                <w:ilvl w:val="0"/>
                <w:numId w:val="0"/>
              </w:numPr>
              <w:spacing w:line="300" w:lineRule="exact"/>
              <w:ind w:firstLine="420" w:firstLineChars="200"/>
              <w:rPr>
                <w:rFonts w:hint="eastAsia" w:ascii="Times New Roman" w:hAnsi="Times New Roman" w:eastAsia="仿宋_GB2312" w:cs="仿宋_GB2312"/>
                <w:color w:val="000000"/>
                <w:w w:val="95"/>
                <w:szCs w:val="21"/>
              </w:rPr>
            </w:pPr>
            <w:r>
              <w:rPr>
                <w:rFonts w:hint="eastAsia" w:ascii="Times New Roman" w:hAnsi="Times New Roman" w:eastAsia="仿宋_GB2312" w:cs="Times New Roman"/>
                <w:color w:val="000000"/>
                <w:szCs w:val="21"/>
                <w:lang w:val="en-US" w:eastAsia="zh-CN"/>
              </w:rPr>
              <w:t>内容立意深远：让观众认识到了历史文化名城保护与利用的重要意义，也向观众展示了各级政协组织和政协委员在历史文化名城保护与利用中，如何发挥政协作用。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6" w:hRule="exact"/>
        </w:trPr>
        <w:tc>
          <w:tcPr>
            <w:tcW w:w="1639" w:type="dxa"/>
            <w:vAlign w:val="center"/>
          </w:tcPr>
          <w:p>
            <w:pPr>
              <w:spacing w:line="38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社</w:t>
            </w:r>
          </w:p>
          <w:p>
            <w:pPr>
              <w:spacing w:line="38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会</w:t>
            </w:r>
          </w:p>
          <w:p>
            <w:pPr>
              <w:spacing w:line="38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效</w:t>
            </w:r>
          </w:p>
          <w:p>
            <w:pPr>
              <w:spacing w:line="38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果</w:t>
            </w:r>
          </w:p>
        </w:tc>
        <w:tc>
          <w:tcPr>
            <w:tcW w:w="7985" w:type="dxa"/>
            <w:gridSpan w:val="5"/>
            <w:vAlign w:val="center"/>
          </w:tcPr>
          <w:p>
            <w:pPr>
              <w:ind w:firstLine="420" w:firstLineChars="200"/>
              <w:rPr>
                <w:rFonts w:hint="eastAsia" w:ascii="Times New Roman" w:hAnsi="Times New Roman" w:eastAsia="仿宋_GB2312" w:cs="仿宋_GB2312"/>
                <w:color w:val="000000"/>
                <w:szCs w:val="21"/>
              </w:rPr>
            </w:pPr>
            <w:r>
              <w:rPr>
                <w:rFonts w:hint="eastAsia" w:ascii="Times New Roman" w:hAnsi="Times New Roman" w:eastAsia="仿宋_GB2312" w:cs="Times New Roman"/>
                <w:color w:val="000000"/>
                <w:szCs w:val="21"/>
                <w:lang w:val="en-US" w:eastAsia="zh-CN"/>
              </w:rPr>
              <w:t>该作品形式新颖，以细腻深刻的手法生动展现委员履职故事，对历史文化名城保护与利用的宣传、以及弘扬新时代下政协委员履职形象有积极作用。该作品注重融合创新，同步推送到长江云及湖北政协的官方公众号“湖北政协”。节目得到了省政协、武昌区政协的一致好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8" w:hRule="exact"/>
        </w:trPr>
        <w:tc>
          <w:tcPr>
            <w:tcW w:w="1639" w:type="dxa"/>
            <w:tcBorders>
              <w:bottom w:val="single" w:color="auto" w:sz="4" w:space="0"/>
            </w:tcBorders>
            <w:vAlign w:val="center"/>
          </w:tcPr>
          <w:p>
            <w:pPr>
              <w:spacing w:line="34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单</w:t>
            </w:r>
          </w:p>
          <w:p>
            <w:pPr>
              <w:spacing w:line="34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位</w:t>
            </w:r>
          </w:p>
          <w:p>
            <w:pPr>
              <w:spacing w:line="34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意</w:t>
            </w:r>
          </w:p>
          <w:p>
            <w:pPr>
              <w:spacing w:line="340" w:lineRule="exact"/>
              <w:jc w:val="center"/>
              <w:rPr>
                <w:rFonts w:hint="eastAsia" w:ascii="Times New Roman" w:hAnsi="Times New Roman" w:eastAsia="黑体" w:cs="黑体"/>
                <w:color w:val="000000"/>
                <w:sz w:val="28"/>
                <w:szCs w:val="22"/>
              </w:rPr>
            </w:pPr>
            <w:r>
              <w:rPr>
                <w:rFonts w:hint="eastAsia" w:ascii="Times New Roman" w:hAnsi="Times New Roman" w:eastAsia="黑体" w:cs="黑体"/>
                <w:color w:val="000000"/>
                <w:sz w:val="28"/>
                <w:szCs w:val="22"/>
              </w:rPr>
              <w:t>见</w:t>
            </w:r>
          </w:p>
        </w:tc>
        <w:tc>
          <w:tcPr>
            <w:tcW w:w="7985" w:type="dxa"/>
            <w:gridSpan w:val="5"/>
            <w:tcBorders>
              <w:bottom w:val="single" w:color="auto" w:sz="4" w:space="0"/>
            </w:tcBorders>
            <w:vAlign w:val="center"/>
          </w:tcPr>
          <w:p>
            <w:pPr>
              <w:numPr>
                <w:ilvl w:val="0"/>
                <w:numId w:val="0"/>
              </w:numPr>
              <w:spacing w:line="300" w:lineRule="exact"/>
              <w:ind w:firstLine="420" w:firstLineChars="200"/>
              <w:rPr>
                <w:rFonts w:hint="eastAsia"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推荐理由：经我单位审核，该作品内容真实，相关申报材料属实。我单位同意推荐该作品参加第二十五届全国政协好新闻评选。</w:t>
            </w:r>
          </w:p>
          <w:p>
            <w:pPr>
              <w:numPr>
                <w:ilvl w:val="0"/>
                <w:numId w:val="0"/>
              </w:numPr>
              <w:spacing w:line="300" w:lineRule="exact"/>
              <w:ind w:firstLine="420" w:firstLineChars="200"/>
              <w:rPr>
                <w:rFonts w:hint="eastAsia"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 xml:space="preserve">                      刊播单位负责同志签名</w:t>
            </w:r>
          </w:p>
          <w:p>
            <w:pPr>
              <w:numPr>
                <w:ilvl w:val="0"/>
                <w:numId w:val="0"/>
              </w:numPr>
              <w:spacing w:line="300" w:lineRule="exact"/>
              <w:ind w:firstLine="420" w:firstLineChars="200"/>
              <w:jc w:val="right"/>
              <w:rPr>
                <w:rFonts w:hint="eastAsia" w:ascii="Times New Roman" w:hAnsi="Times New Roman" w:eastAsia="仿宋_GB2312" w:cs="仿宋_GB2312"/>
                <w:color w:val="000000"/>
                <w:szCs w:val="21"/>
              </w:rPr>
            </w:pPr>
            <w:r>
              <w:rPr>
                <w:rFonts w:hint="eastAsia" w:ascii="Times New Roman" w:hAnsi="Times New Roman" w:eastAsia="仿宋_GB2312" w:cs="Times New Roman"/>
                <w:color w:val="000000"/>
                <w:szCs w:val="21"/>
                <w:lang w:val="en-US" w:eastAsia="zh-CN"/>
              </w:rPr>
              <w:t>（盖刊播单位公章）                                                       2024年  月  日</w:t>
            </w:r>
          </w:p>
        </w:tc>
      </w:tr>
    </w:tbl>
    <w:p>
      <w:pPr>
        <w:jc w:val="center"/>
        <w:rPr>
          <w:rFonts w:hint="eastAsia" w:ascii="Times New Roman" w:hAnsi="Times New Roman" w:eastAsia="方正小标宋简体"/>
          <w:sz w:val="40"/>
          <w:szCs w:val="40"/>
        </w:rPr>
      </w:pPr>
      <w:r>
        <w:rPr>
          <w:rFonts w:hint="eastAsia" w:ascii="Times New Roman" w:hAnsi="Times New Roman" w:eastAsia="方正小标宋简体"/>
          <w:sz w:val="40"/>
          <w:szCs w:val="40"/>
        </w:rPr>
        <w:t>第二十五届全国政协好新闻参评作品推荐表</w:t>
      </w:r>
    </w:p>
    <w:p>
      <w:pPr>
        <w:spacing w:afterLines="50"/>
        <w:jc w:val="center"/>
        <w:rPr>
          <w:rFonts w:hint="eastAsia" w:ascii="Times New Roman" w:hAnsi="Times New Roman" w:eastAsia="方正小标宋简体" w:cs="方正小标宋简体"/>
          <w:color w:val="000000"/>
          <w:sz w:val="44"/>
          <w:szCs w:val="44"/>
        </w:rPr>
      </w:pPr>
    </w:p>
    <w:p>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b w:val="0"/>
          <w:bCs w:val="0"/>
          <w:kern w:val="2"/>
          <w:sz w:val="44"/>
          <w:szCs w:val="44"/>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b w:val="0"/>
          <w:bCs w:val="0"/>
          <w:kern w:val="2"/>
          <w:sz w:val="44"/>
          <w:szCs w:val="44"/>
          <w:lang w:val="en-US" w:eastAsia="zh-CN" w:bidi="ar-SA"/>
        </w:rPr>
      </w:pPr>
      <w:r>
        <w:rPr>
          <w:rFonts w:hint="default" w:ascii="Times New Roman" w:hAnsi="Times New Roman" w:eastAsia="方正小标宋简体" w:cs="Times New Roman"/>
          <w:b w:val="0"/>
          <w:bCs w:val="0"/>
          <w:kern w:val="2"/>
          <w:sz w:val="44"/>
          <w:szCs w:val="44"/>
          <w:lang w:val="en-US" w:eastAsia="zh-CN" w:bidi="ar-SA"/>
        </w:rPr>
        <w:t>武昌古城建城1800年</w:t>
      </w:r>
    </w:p>
    <w:p>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b w:val="0"/>
          <w:bCs w:val="0"/>
          <w:kern w:val="2"/>
          <w:sz w:val="44"/>
          <w:szCs w:val="44"/>
          <w:lang w:val="en-US" w:eastAsia="zh-CN" w:bidi="ar-SA"/>
        </w:rPr>
      </w:pPr>
      <w:r>
        <w:rPr>
          <w:rFonts w:hint="default" w:ascii="Times New Roman" w:hAnsi="Times New Roman" w:eastAsia="方正小标宋简体" w:cs="Times New Roman"/>
          <w:b w:val="0"/>
          <w:bCs w:val="0"/>
          <w:kern w:val="2"/>
          <w:sz w:val="44"/>
          <w:szCs w:val="44"/>
          <w:lang w:val="en-US" w:eastAsia="zh-CN" w:bidi="ar-SA"/>
        </w:rPr>
        <w:t>与委员同访岳飞的武汉印记</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【导语1】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经视生活圈，天天都新鲜。您现在收看的是湖北经视全新推出的晚间栏目《经视生活圈》。我是主持人越男。今晚为您播出的是《经视生活圈》之《提案追踪》。</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【提案追踪片花】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公元223年，东吴孙权在蛇山筑土兴城，取名夏口城，这座城就是武昌的历史起点。2023年，武昌古城也迎来她建城1800年的重要历史节点。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电影《满江红》全国热映，和岳飞有着深厚联系的武昌，也成为了人们关注的热点。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如何保护好、利用好、传承好武昌古城，这一荆楚历史文化遗产，一直是政协委员们关心的议题，并为之积极提案，助推武昌古城高质量发展。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【出镜】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武昌古城建城1800年。在武汉，能找到与它同龄的历史建筑，就是我身后的这座黄鹤楼。虽然历史上的黄鹤楼几度毁于战火，又几度重建，但它一直都是武昌古城的地标性建筑。历史上有无数名人志士都曾登上黄鹤楼，抒发胸怀。其中就有南宋名将岳飞，在黄鹤楼公园里就有他的雕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【同期声】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湖北省政协委员 余丹 岳飞是在他31岁的时候，也就是公元1134年， 来到了武汉。在他38年的岁月当中，有7年，也是他最辉煌，最有成就的7年，都在我们的武汉。他训练水兵的地方，就是今天大家所熟知的岳家嘴。还有，今天大家都要去的司门口，是当时的岳王府所在地。这些地方都是岳飞留在武汉的痕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【出镜】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遥望中原，荒烟外、许多城郭。想当年、花遮柳护，凤楼龙阁.....我身后的这块青石浮雕上面刻写的就是南宋名将岳飞，当年在黄鹤楼写下的《满江红.登黄鹤楼有感》，它所表达的报国之志和英雄情怀，可以说是和《满江红·写怀》“怒发冲冠”词，一脉相承，一气贯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【同期声】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湖北省政协委员 余丹  在岳飞身上，我们发现，他热爱祖国，精忠报国。同时，他又孝敬母亲。更重要的是他非常严格地要求自己， 在他身上所洋溢出来的中华民族传统美德。我想即使在今天，也时刻鞭笞着我们。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游客：三十功名尘与土，八千里路云和月，莫等闲，白了少年头。 空悲切！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游客：靖康耻，犹未雪。臣子恨，何时灭！驾长车，踏破贺兰山缺</w:t>
      </w:r>
      <w:r>
        <w:rPr>
          <w:rFonts w:hint="eastAsia" w:ascii="Times New Roman" w:hAnsi="Times New Roman" w:eastAsia="仿宋_GB2312" w:cs="Times New Roman"/>
          <w:b w:val="0"/>
          <w:bCs w:val="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 xml:space="preserve">游客（小朋友）：我也想像岳飞这样报效祖国！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 xml:space="preserve">游客：电影里背诵《满江红》的时候，内心还是感觉到很震撼的。 当时跟孩子都流眼泪了，内心对岳元帅非常敬佩的！所以想过来在这边留个念。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作为新一届省政协委员，余丹在今年的两会上，提交了三份关于武昌古城保护与利用的提案建议。他认为，应该充分保护和利用南宋名将岳飞在武汉的历史资源，大力弘扬岳飞的家国情怀，寄托对先贤的敬仰，体现文化自信自强，建议在武昌斗级营修建岳飞广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【同期声】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湖北省政协委员 余丹 第一个原因，就是当时的岳王府，实际上和今天的斗级营挨得非常近。岳王府当时的所在地，就在司门口边上现在的广东商场，和斗级营也就是一步之遥。第二，我们今天有很多的岳飞遗址。包括在黄鹤楼公园上面，所看到的岳飞的遗像亭，岳飞的铜像等等。这些都在斗级营顺着蛇山往上，就可以去看到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 xml:space="preserve">余丹委员还建议，推动湖北中医药大学与昙华林景区之间的文化、产业、空间融合，使校园内历史文化资源与昙华林景点相互呼应，两者相互赋能，实现名校与地区融合发展、共同缔造和谐幸福生活。另外，建议借助武昌古城建城1800年之际，建立黄鹤楼与得胜桥千年古轴的连接，北拓黄鹤楼 5A 级景区，促进景区、街区、社区的融合，放大黄鹤楼地标功能，提升黄鹤楼景区旅游体验。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【同期声】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湖北省政协委员 余丹 我们非常希望在武昌建城1800年的时间，武汉市政府能用武昌1800（年）的故事，深挖我们的历史，同时打造更多的武汉好声音，去让其传播。使得我们今天从古城的文化当中 能够去感受到时代的发展。最终，使我们的武汉，能够成为国际化、现代化的大都市！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为庆祝武昌古城建城1800年，余丹委员参与组织了覆盖2023年全年的“武昌·1800之“对话古今 解锁古城”文化跑活动，所设计的27条路线，涵盖武昌古城各个历史遗址、人文、美食和景区景点。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【同期声】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湖北省政协委员 余丹 我们让大家用自己的脚步，通过奔跑去感受。我们也希望通过这样的活动，让大家发现城市的美丽，去感受城市的厚重。使得他生出一种对于城市，油然而生的自豪感的同时，更加地热爱城市，更加地愿意建设好这座城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【导语2】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为纪念武昌古城建城1800年，3月24号，武汉市武昌区举办了相关系列活动发布会。会上，卢纲委员被聘请为“城区形象策划推广高端智库”专家成员。他表示将继续讲好古城故事，传播武昌文化。让更多人关注武昌，爱上古城。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卢纲，担任过两届湖北省政协委员，三届武汉市武昌区政协委员。担任政协委员12年来，共提交了46份各类提案建议，其中80%以上，都与武昌古城的保护和利用有关。其中打造昙华林历史文化街区、立石刻字恢复辛亥革命首义公园、打通得胜桥千年古轴、省图旧馆建立武汉抗战纪念馆等一批提案，均得到落实或采纳。</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【同期声】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武汉市武昌区政协委员 卢纲 楚河汉街、昙华林等等，还有东湖绿道，还有蛇山的退山还绿等等，城市面貌、小区的卫生以及城市的管理、交通的便捷、城市的兴旺，都给我们很大的鼓舞。我们觉得参政议政做的一点点工作，也在中间被体现出来，感觉非常欣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在武昌区域媒体联盟成立大会暨武昌古城·1800系列活动发布会上，武昌区委宣传部主要负责人和武昌虚拟形象代言人“武畅儿”展开互动，发布武昌古城建城1800年系列活动。据悉，武昌区今年策划推出可看、可听、可玩、可赏、可品的“5+N”系列活动，其中重点活动有五项，包括武昌古城建城1800年全球媒体推介会、武昌城史馆开馆暨古城发展论坛、武昌古城“双碳”主题光影秀暨“双碳”洽商展示会、武昌古城半程马拉松和武昌古城建城1800年文艺晚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【同期声】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武汉市武昌区委宣传部部长 甘世斌 这些活动，我们也希望“武畅儿”，能够借用你在虚拟世界的能力和新的技术手段，帮助我们做好武昌的宣传工作。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武昌虚拟形象代言人 武畅儿 太好了！我一定完成任务！我已经迫不及待想和大家一起来探索武昌古城的前世今生，与更多人分享武昌的宝藏之处和美好体验！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去年12月，政协武昌区第十五届委员会第二次会议将《关于以武昌古城建城1800年为契机，加强武昌城市形象塑造与宣传的建议》列为重点提案，卢纲是该提案的主要提案人，其中多数建议被采纳进了武昌古城建城1800年系列活动中。</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【同期声】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武汉市武昌区政协委员 卢纲  我感觉到非常欣慰的是，几乎我的主要的建议，都纳入了武昌区委区政府今年年度的宣传计划，并且公布的五件大事，其中有四件都是我们提案中主要提到的内容。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在该项提案中，卢纲委员建议，抓住武昌古城建城1800年历史节点契机，以一系列高起点、大制作的爆款文旅作品、项目和活动，把系列纪念活动办成城市的盛典、人民的节日、武昌的名片，把武昌打造成享誉全国的文化品牌活动高地。进一步提升武昌城市的整体形象、彰显武昌城市的人文特色、增添武昌城市的独特魅力，使武昌成为全域旅游的主要目的地、闻名中外的网红打卡地、中国革命的一流红色教培基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【同期声】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武汉市武昌区政协委员 卢纲 剧本一个全球的发布会，一个高端论坛，一个城史馆的开馆仪式，还有要编一系列的宣传片。这些东西都要有统一的标识，统一的IP 形象，能够让武昌的概念，深入湖北武汉的人心，把它推广到全国，让世界进一步了解武昌。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目前，武昌区政协为做优做实该提案，已制定工作方案。强调办理过程要突出“广”和“美”，广泛宣传武昌古城1800年的文化底蕴和经济社会成就，提高武昌古城国内外知名度，提升城市影响力和美誉度，向全国乃至世界展示武昌自然之美、传统之美、英雄之美。要求各主协办单位狠抓落实，把提案办出成效、办出亮点，让委员和广大人民群众满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【同期声】歌曲《汉阳门花园》配画面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小时候的民主路冇得那多人 外地人为了看大桥才来到汉阳门 汉阳门的轮渡可以坐船过汉口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武汉方言歌曲《汉阳门花园》，歌词朴实无华，没有华丽的辞藻，勾起了武汉人浓浓乡愁。一曲传唱天下知，汉阳门也引来无数外地游客赶来看大桥，成为武昌古城又一个网红打卡地。春季的武昌古城，生机盎然，旅游大巴为户部巷、黄鹤楼、昙华林、汉街这些热门景区景点，送来了一批批游客，格外热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【同期声】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游客：网红雪糕，跟黄鹤楼一样的造型。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游客：就想拍黄鹤楼亮灯的那一瞬间，想感受那一下的震撼！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大学生：我们就拍毕业设计作品，去了古德寺、黎黄陂路、轮渡。过几天天气好了去东湖绿道。主要就是想介绍一下我们武汉的特色景点。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大学生：今天我们拍黄鹤楼，就想拍一个夜景延时，从白天等它晚上灯光出来，比较好看。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靠近黄鹤楼、长江大桥这些地标景点，是昙华林的地理优势。但成为网红景点，靠的是昙华林在街区改造提升中依托历史古建筑，打造出的文艺气息。夜晚在山顶吃着烧烤，可以欣赏灯火通明的黄鹤楼；在网红甜品店点一杯下午茶，把生活的仪式感拉满。今年春节假期，昙华林迎来了近5万人次外地游客，创下历史新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【同期声】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游客 章先生 感觉还不错，文化氛围也比较好，各种（店铺）都有。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武汉昙华林某酒店前厅主管 陈思雨 很多客人他是奔着黄鹤楼来的。酒店、咖啡店、甚至撸猫撸狗、网红店，整个区域的生态化都非常活跃，预定基本都是满的。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迎来1800岁诞辰的武昌古城，正以它厚重的历史人文积淀和它澎湃向上的现代气息，向来自五湖四海的知音游客，展示着它独有的吸引力。</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【同期声】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武汉市武昌区政协委员</w:t>
      </w:r>
      <w:r>
        <w:rPr>
          <w:rFonts w:hint="eastAsia"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lang w:val="en-US" w:eastAsia="zh-CN"/>
        </w:rPr>
        <w:t>卢纲</w:t>
      </w:r>
      <w:r>
        <w:rPr>
          <w:rFonts w:hint="eastAsia"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lang w:val="en-US" w:eastAsia="zh-CN"/>
        </w:rPr>
        <w:t>我们今年做1800年古城一系列的活动，也是要激发城市所蕴含的厚重的历史文化所承载的能量，让它为今天的发展，焕发出新的光彩，这一点是很重要的。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【导语3】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翻看中国历史，拥有千年以上历史的名城，数不胜数，但却少有像武昌那样，既拥有丰富的山水人文资源，又在中国近现代历史上发挥重要作用的城市。自2008年以来，省市区三级政协委员和相关单位，一直致力于武昌古城的保护与发展工作。如今，一座焕发蓬勃生机的千年古城，正迎来她的复兴时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default" w:ascii="Times New Roman" w:hAnsi="Times New Roman" w:eastAsia="仿宋_GB2312" w:cs="Times New Roman"/>
          <w:b w:val="0"/>
          <w:bCs w:val="0"/>
          <w:sz w:val="32"/>
          <w:szCs w:val="32"/>
          <w:lang w:val="en-US" w:eastAsia="zh-CN"/>
        </w:rPr>
        <w:t>好。以上就是今天节目的全部内容，有关我们节目的信息，请您关注湖北政协官方微信、湖北经视的官方微信，以及长江云客户端。感谢您收看今天的节目。明天同一时间请您继续收看经视生活圈的精彩节目</w:t>
      </w:r>
      <w:r>
        <w:rPr>
          <w:rFonts w:hint="eastAsia" w:ascii="Times New Roman" w:hAnsi="Times New Roman" w:eastAsia="仿宋_GB2312" w:cs="Times New Roman"/>
          <w:b w:val="0"/>
          <w:bCs w:val="0"/>
          <w:sz w:val="32"/>
          <w:szCs w:val="32"/>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zN2U5MTM5NTlhZTNlMmQ3ZTU2MTE5MDUwOTE2ODQifQ=="/>
  </w:docVars>
  <w:rsids>
    <w:rsidRoot w:val="5B6B46C8"/>
    <w:rsid w:val="043341E4"/>
    <w:rsid w:val="5B6B46C8"/>
    <w:rsid w:val="68382EA7"/>
    <w:rsid w:val="697862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2024-03-28T07:04:00Z</dcterms:created>
  <dc:creator>用户1728</dc:creator>
  <cp:lastModifiedBy>肖迪</cp:lastModifiedBy>
  <dcterms:modified xsi:type="dcterms:W3CDTF">2024-04-07T07:20:49Z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A858C5D8218E4414B197212409AC4418_11</vt:lpwstr>
  </property>
</Properties>
</file>